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B3AB" w14:textId="4C1ECE66" w:rsidR="004F4796" w:rsidRDefault="004F4796" w:rsidP="004F4796">
      <w:pPr>
        <w:jc w:val="center"/>
        <w:rPr>
          <w:b/>
          <w:iCs/>
          <w:sz w:val="32"/>
          <w:szCs w:val="32"/>
        </w:rPr>
      </w:pPr>
      <w:r w:rsidRPr="001E6C1C">
        <w:rPr>
          <w:b/>
          <w:iCs/>
          <w:sz w:val="32"/>
          <w:szCs w:val="32"/>
        </w:rPr>
        <w:t>LCL COMMITTEE</w:t>
      </w:r>
      <w:r w:rsidR="0028598A">
        <w:rPr>
          <w:b/>
          <w:iCs/>
          <w:sz w:val="32"/>
          <w:szCs w:val="32"/>
        </w:rPr>
        <w:t>S</w:t>
      </w:r>
      <w:r w:rsidRPr="001E6C1C">
        <w:rPr>
          <w:b/>
          <w:iCs/>
          <w:sz w:val="32"/>
          <w:szCs w:val="32"/>
        </w:rPr>
        <w:t xml:space="preserve"> </w:t>
      </w:r>
      <w:r w:rsidR="00621901">
        <w:rPr>
          <w:b/>
          <w:iCs/>
          <w:sz w:val="32"/>
          <w:szCs w:val="32"/>
        </w:rPr>
        <w:t>– 202</w:t>
      </w:r>
      <w:r w:rsidR="00414447">
        <w:rPr>
          <w:b/>
          <w:iCs/>
          <w:sz w:val="32"/>
          <w:szCs w:val="32"/>
        </w:rPr>
        <w:t>5</w:t>
      </w:r>
      <w:r w:rsidR="00621901">
        <w:rPr>
          <w:b/>
          <w:iCs/>
          <w:sz w:val="32"/>
          <w:szCs w:val="32"/>
        </w:rPr>
        <w:t>-</w:t>
      </w:r>
      <w:r w:rsidR="00AF5392">
        <w:rPr>
          <w:b/>
          <w:iCs/>
          <w:sz w:val="32"/>
          <w:szCs w:val="32"/>
        </w:rPr>
        <w:t>202</w:t>
      </w:r>
      <w:r w:rsidR="00414447">
        <w:rPr>
          <w:b/>
          <w:iCs/>
          <w:sz w:val="32"/>
          <w:szCs w:val="32"/>
        </w:rPr>
        <w:t>6</w:t>
      </w:r>
    </w:p>
    <w:p w14:paraId="42DB7306" w14:textId="77D88451" w:rsidR="00AF5392" w:rsidRDefault="00AF5392" w:rsidP="004F4796">
      <w:pPr>
        <w:jc w:val="center"/>
        <w:rPr>
          <w:b/>
          <w:iCs/>
          <w:sz w:val="32"/>
          <w:szCs w:val="32"/>
        </w:rPr>
      </w:pPr>
    </w:p>
    <w:p w14:paraId="6DA8CCF1" w14:textId="77777777" w:rsidR="008C5B36" w:rsidRDefault="008C5B36" w:rsidP="001E6C1C">
      <w:pPr>
        <w:spacing w:after="120"/>
        <w:rPr>
          <w:b/>
          <w:iCs/>
          <w:sz w:val="22"/>
          <w:szCs w:val="22"/>
        </w:rPr>
      </w:pPr>
    </w:p>
    <w:p w14:paraId="65C64225" w14:textId="42365D55" w:rsidR="004F4796" w:rsidRDefault="004F4796" w:rsidP="001E6C1C">
      <w:pPr>
        <w:spacing w:after="120"/>
        <w:rPr>
          <w:b/>
          <w:iCs/>
          <w:sz w:val="22"/>
          <w:szCs w:val="22"/>
        </w:rPr>
      </w:pPr>
      <w:r>
        <w:rPr>
          <w:b/>
          <w:iCs/>
          <w:sz w:val="22"/>
          <w:szCs w:val="22"/>
        </w:rPr>
        <w:t>EDUCATION AND OUTREACH COMMITTEE</w:t>
      </w:r>
    </w:p>
    <w:p w14:paraId="3577ED2B" w14:textId="049858B8" w:rsidR="007D3871" w:rsidRDefault="007D3871" w:rsidP="001E6C1C">
      <w:pPr>
        <w:spacing w:after="120"/>
        <w:rPr>
          <w:sz w:val="22"/>
          <w:szCs w:val="22"/>
        </w:rPr>
      </w:pPr>
      <w:r w:rsidRPr="002F7439">
        <w:rPr>
          <w:sz w:val="22"/>
          <w:szCs w:val="22"/>
        </w:rPr>
        <w:t xml:space="preserve">The Education and Outreach committee </w:t>
      </w:r>
      <w:r w:rsidR="0028598A">
        <w:rPr>
          <w:sz w:val="22"/>
          <w:szCs w:val="22"/>
        </w:rPr>
        <w:t>provides strategic direction and advi</w:t>
      </w:r>
      <w:r w:rsidR="00AC0B11">
        <w:rPr>
          <w:sz w:val="22"/>
          <w:szCs w:val="22"/>
        </w:rPr>
        <w:t>ce</w:t>
      </w:r>
      <w:r w:rsidR="0028598A">
        <w:rPr>
          <w:sz w:val="22"/>
          <w:szCs w:val="22"/>
        </w:rPr>
        <w:t xml:space="preserve"> to LCL staff regarding LCL’s robust educational program. The Committee assists board members in serving as ambassadors and allies for LCL. The Committee may </w:t>
      </w:r>
      <w:r w:rsidRPr="002F7439">
        <w:rPr>
          <w:sz w:val="22"/>
          <w:szCs w:val="22"/>
        </w:rPr>
        <w:t>develop and maintain partnerships with legal education providers</w:t>
      </w:r>
      <w:r w:rsidR="009B6307">
        <w:rPr>
          <w:sz w:val="22"/>
          <w:szCs w:val="22"/>
        </w:rPr>
        <w:t xml:space="preserve">, bar associations, </w:t>
      </w:r>
      <w:r w:rsidRPr="002F7439">
        <w:rPr>
          <w:sz w:val="22"/>
          <w:szCs w:val="22"/>
        </w:rPr>
        <w:t>and other entities</w:t>
      </w:r>
      <w:r w:rsidR="009B6307">
        <w:rPr>
          <w:sz w:val="22"/>
          <w:szCs w:val="22"/>
        </w:rPr>
        <w:t>,</w:t>
      </w:r>
      <w:r w:rsidRPr="002F7439">
        <w:rPr>
          <w:sz w:val="22"/>
          <w:szCs w:val="22"/>
        </w:rPr>
        <w:t xml:space="preserve"> and </w:t>
      </w:r>
      <w:r w:rsidR="0028598A">
        <w:rPr>
          <w:sz w:val="22"/>
          <w:szCs w:val="22"/>
        </w:rPr>
        <w:t xml:space="preserve">may </w:t>
      </w:r>
      <w:r w:rsidRPr="002F7439">
        <w:rPr>
          <w:sz w:val="22"/>
          <w:szCs w:val="22"/>
        </w:rPr>
        <w:t>provid</w:t>
      </w:r>
      <w:r w:rsidR="0028598A">
        <w:rPr>
          <w:sz w:val="22"/>
          <w:szCs w:val="22"/>
        </w:rPr>
        <w:t>e</w:t>
      </w:r>
      <w:r w:rsidRPr="002F7439">
        <w:rPr>
          <w:sz w:val="22"/>
          <w:szCs w:val="22"/>
        </w:rPr>
        <w:t xml:space="preserve"> training and development of the board and members</w:t>
      </w:r>
      <w:r w:rsidR="0028598A">
        <w:rPr>
          <w:sz w:val="22"/>
          <w:szCs w:val="22"/>
        </w:rPr>
        <w:t xml:space="preserve">. </w:t>
      </w:r>
      <w:r w:rsidRPr="002F7439">
        <w:rPr>
          <w:sz w:val="22"/>
          <w:szCs w:val="22"/>
        </w:rPr>
        <w:t xml:space="preserve">The committee also addresses </w:t>
      </w:r>
      <w:r w:rsidR="0028598A">
        <w:rPr>
          <w:sz w:val="22"/>
          <w:szCs w:val="22"/>
        </w:rPr>
        <w:t xml:space="preserve">policy and opportunities related to </w:t>
      </w:r>
      <w:r w:rsidR="00FD79EC">
        <w:rPr>
          <w:sz w:val="22"/>
          <w:szCs w:val="22"/>
        </w:rPr>
        <w:t xml:space="preserve">social media, </w:t>
      </w:r>
      <w:r w:rsidRPr="002F7439">
        <w:rPr>
          <w:sz w:val="22"/>
          <w:szCs w:val="22"/>
        </w:rPr>
        <w:t xml:space="preserve">promotion, </w:t>
      </w:r>
      <w:r w:rsidR="00D16B34" w:rsidRPr="002F7439">
        <w:rPr>
          <w:sz w:val="22"/>
          <w:szCs w:val="22"/>
        </w:rPr>
        <w:t>publication</w:t>
      </w:r>
      <w:r w:rsidR="0028598A">
        <w:rPr>
          <w:sz w:val="22"/>
          <w:szCs w:val="22"/>
        </w:rPr>
        <w:t>s</w:t>
      </w:r>
      <w:r w:rsidR="00D16B34" w:rsidRPr="002F7439">
        <w:rPr>
          <w:sz w:val="22"/>
          <w:szCs w:val="22"/>
        </w:rPr>
        <w:t>,</w:t>
      </w:r>
      <w:r w:rsidRPr="002F7439">
        <w:rPr>
          <w:sz w:val="22"/>
          <w:szCs w:val="22"/>
        </w:rPr>
        <w:t xml:space="preserve"> and community relations</w:t>
      </w:r>
      <w:r w:rsidR="009B6307">
        <w:rPr>
          <w:sz w:val="22"/>
          <w:szCs w:val="22"/>
        </w:rPr>
        <w:t xml:space="preserve">. </w:t>
      </w:r>
      <w:r>
        <w:rPr>
          <w:sz w:val="22"/>
          <w:szCs w:val="22"/>
        </w:rPr>
        <w:t xml:space="preserve"> </w:t>
      </w:r>
    </w:p>
    <w:p w14:paraId="54D25A6C" w14:textId="77777777" w:rsidR="004F4796" w:rsidRDefault="004F4796" w:rsidP="001E6C1C">
      <w:pPr>
        <w:spacing w:after="120"/>
        <w:rPr>
          <w:sz w:val="22"/>
          <w:szCs w:val="22"/>
        </w:rPr>
      </w:pPr>
    </w:p>
    <w:p w14:paraId="05125F5A" w14:textId="3AA75B5F" w:rsidR="00AA49F8" w:rsidRDefault="00EC44CE" w:rsidP="001E6C1C">
      <w:pPr>
        <w:spacing w:after="120"/>
        <w:rPr>
          <w:b/>
          <w:iCs/>
          <w:sz w:val="22"/>
          <w:szCs w:val="22"/>
        </w:rPr>
      </w:pPr>
      <w:r>
        <w:rPr>
          <w:b/>
          <w:iCs/>
          <w:sz w:val="22"/>
          <w:szCs w:val="22"/>
        </w:rPr>
        <w:t>NOMINATIONS AND GOVERNANCE COMMITTEE</w:t>
      </w:r>
    </w:p>
    <w:p w14:paraId="2CE0C0CF" w14:textId="2E1893F5" w:rsidR="007D3871" w:rsidRDefault="007D3871" w:rsidP="001E6C1C">
      <w:pPr>
        <w:spacing w:after="120"/>
        <w:rPr>
          <w:sz w:val="22"/>
          <w:szCs w:val="22"/>
        </w:rPr>
      </w:pPr>
      <w:r w:rsidRPr="002F7439">
        <w:rPr>
          <w:bCs/>
          <w:sz w:val="22"/>
          <w:szCs w:val="22"/>
        </w:rPr>
        <w:t>The Nominations and Governance committee oversee</w:t>
      </w:r>
      <w:r w:rsidR="009B6307">
        <w:rPr>
          <w:bCs/>
          <w:sz w:val="22"/>
          <w:szCs w:val="22"/>
        </w:rPr>
        <w:t>s</w:t>
      </w:r>
      <w:r w:rsidRPr="002F7439">
        <w:rPr>
          <w:bCs/>
          <w:sz w:val="22"/>
          <w:szCs w:val="22"/>
        </w:rPr>
        <w:t xml:space="preserve"> the </w:t>
      </w:r>
      <w:r w:rsidR="00213E79">
        <w:rPr>
          <w:bCs/>
          <w:sz w:val="22"/>
          <w:szCs w:val="22"/>
        </w:rPr>
        <w:t xml:space="preserve">recruitment, </w:t>
      </w:r>
      <w:r w:rsidRPr="002F7439">
        <w:rPr>
          <w:bCs/>
          <w:sz w:val="22"/>
          <w:szCs w:val="22"/>
        </w:rPr>
        <w:t>selection</w:t>
      </w:r>
      <w:r w:rsidR="00707511">
        <w:rPr>
          <w:bCs/>
          <w:sz w:val="22"/>
          <w:szCs w:val="22"/>
        </w:rPr>
        <w:t>,</w:t>
      </w:r>
      <w:r w:rsidRPr="002F7439">
        <w:rPr>
          <w:bCs/>
          <w:sz w:val="22"/>
          <w:szCs w:val="22"/>
        </w:rPr>
        <w:t xml:space="preserve"> and training of LCL Board members</w:t>
      </w:r>
      <w:r w:rsidR="0028598A">
        <w:rPr>
          <w:bCs/>
          <w:sz w:val="22"/>
          <w:szCs w:val="22"/>
        </w:rPr>
        <w:t xml:space="preserve">. </w:t>
      </w:r>
      <w:r w:rsidRPr="002F7439">
        <w:rPr>
          <w:bCs/>
          <w:sz w:val="22"/>
          <w:szCs w:val="22"/>
        </w:rPr>
        <w:t>The committee will act consistent</w:t>
      </w:r>
      <w:r w:rsidR="00AC0B11">
        <w:rPr>
          <w:bCs/>
          <w:sz w:val="22"/>
          <w:szCs w:val="22"/>
        </w:rPr>
        <w:t>ly</w:t>
      </w:r>
      <w:r w:rsidRPr="002F7439">
        <w:rPr>
          <w:bCs/>
          <w:sz w:val="22"/>
          <w:szCs w:val="22"/>
        </w:rPr>
        <w:t xml:space="preserve"> with the Board’s Term Limits policy and Recruitment Guidelines</w:t>
      </w:r>
      <w:r w:rsidR="00D16B34" w:rsidRPr="002F7439">
        <w:rPr>
          <w:bCs/>
          <w:sz w:val="22"/>
          <w:szCs w:val="22"/>
        </w:rPr>
        <w:t>.</w:t>
      </w:r>
      <w:r w:rsidR="00D16B34" w:rsidRPr="002F7439">
        <w:rPr>
          <w:b/>
          <w:bCs/>
          <w:sz w:val="22"/>
          <w:szCs w:val="22"/>
        </w:rPr>
        <w:t xml:space="preserve"> </w:t>
      </w:r>
      <w:r w:rsidRPr="002F7439">
        <w:rPr>
          <w:sz w:val="22"/>
          <w:szCs w:val="22"/>
        </w:rPr>
        <w:t>The committee monitors trends in nonprofit governance</w:t>
      </w:r>
      <w:r w:rsidR="0028598A">
        <w:rPr>
          <w:sz w:val="22"/>
          <w:szCs w:val="22"/>
        </w:rPr>
        <w:t>,</w:t>
      </w:r>
      <w:r w:rsidRPr="002F7439">
        <w:rPr>
          <w:sz w:val="22"/>
          <w:szCs w:val="22"/>
        </w:rPr>
        <w:t xml:space="preserve"> </w:t>
      </w:r>
      <w:r w:rsidR="0028598A">
        <w:rPr>
          <w:sz w:val="22"/>
          <w:szCs w:val="22"/>
        </w:rPr>
        <w:t xml:space="preserve">provided by the Executive Director, </w:t>
      </w:r>
      <w:r w:rsidRPr="002F7439">
        <w:rPr>
          <w:sz w:val="22"/>
          <w:szCs w:val="22"/>
        </w:rPr>
        <w:t xml:space="preserve">to ensure the Board is using appropriate practices and makes recommendations to the full Board </w:t>
      </w:r>
      <w:r w:rsidR="0028598A">
        <w:rPr>
          <w:sz w:val="22"/>
          <w:szCs w:val="22"/>
        </w:rPr>
        <w:t xml:space="preserve">regarding </w:t>
      </w:r>
      <w:r w:rsidRPr="002F7439">
        <w:rPr>
          <w:sz w:val="22"/>
          <w:szCs w:val="22"/>
        </w:rPr>
        <w:t xml:space="preserve">compliance with bylaws and changes to them.  </w:t>
      </w:r>
      <w:r w:rsidR="0028598A">
        <w:rPr>
          <w:sz w:val="22"/>
          <w:szCs w:val="22"/>
        </w:rPr>
        <w:t xml:space="preserve">LCL believes </w:t>
      </w:r>
      <w:r w:rsidRPr="002F7439">
        <w:rPr>
          <w:sz w:val="22"/>
          <w:szCs w:val="22"/>
        </w:rPr>
        <w:t xml:space="preserve">that the organization’s strength and vitality will be advanced by a regular infusion of new </w:t>
      </w:r>
      <w:r w:rsidR="0028598A">
        <w:rPr>
          <w:sz w:val="22"/>
          <w:szCs w:val="22"/>
        </w:rPr>
        <w:t xml:space="preserve">board </w:t>
      </w:r>
      <w:r w:rsidRPr="002F7439">
        <w:rPr>
          <w:sz w:val="22"/>
          <w:szCs w:val="22"/>
        </w:rPr>
        <w:t xml:space="preserve">members who bring energy, diversity, </w:t>
      </w:r>
      <w:r w:rsidR="0028598A">
        <w:rPr>
          <w:sz w:val="22"/>
          <w:szCs w:val="22"/>
        </w:rPr>
        <w:t xml:space="preserve">and </w:t>
      </w:r>
      <w:r w:rsidRPr="002F7439">
        <w:rPr>
          <w:sz w:val="22"/>
          <w:szCs w:val="22"/>
        </w:rPr>
        <w:t>new ideas and interests. The LCL board includes mental health professionals, judges, law professors</w:t>
      </w:r>
      <w:r w:rsidR="0028598A">
        <w:rPr>
          <w:sz w:val="22"/>
          <w:szCs w:val="22"/>
        </w:rPr>
        <w:t>, law students,</w:t>
      </w:r>
      <w:r w:rsidRPr="002F7439">
        <w:rPr>
          <w:sz w:val="22"/>
          <w:szCs w:val="22"/>
        </w:rPr>
        <w:t xml:space="preserve"> and those with expertise in other areas</w:t>
      </w:r>
      <w:r w:rsidR="0028598A">
        <w:rPr>
          <w:sz w:val="22"/>
          <w:szCs w:val="22"/>
        </w:rPr>
        <w:t xml:space="preserve"> of interest</w:t>
      </w:r>
      <w:r w:rsidR="00D16B34" w:rsidRPr="002F7439">
        <w:rPr>
          <w:sz w:val="22"/>
          <w:szCs w:val="22"/>
        </w:rPr>
        <w:t xml:space="preserve">. </w:t>
      </w:r>
    </w:p>
    <w:p w14:paraId="0397AE70" w14:textId="77777777" w:rsidR="0028598A" w:rsidRDefault="0028598A" w:rsidP="001E6C1C">
      <w:pPr>
        <w:spacing w:after="120"/>
        <w:rPr>
          <w:b/>
          <w:iCs/>
          <w:sz w:val="22"/>
          <w:szCs w:val="22"/>
        </w:rPr>
      </w:pPr>
    </w:p>
    <w:p w14:paraId="4551991E" w14:textId="7B3D8EAE" w:rsidR="00583BA8" w:rsidRDefault="00EC44CE" w:rsidP="001E6C1C">
      <w:pPr>
        <w:spacing w:after="120"/>
        <w:rPr>
          <w:b/>
          <w:iCs/>
          <w:sz w:val="22"/>
          <w:szCs w:val="22"/>
        </w:rPr>
      </w:pPr>
      <w:r>
        <w:rPr>
          <w:b/>
          <w:iCs/>
          <w:sz w:val="22"/>
          <w:szCs w:val="22"/>
        </w:rPr>
        <w:t>CASES AND INTERVENTIONS COMMITTEE</w:t>
      </w:r>
    </w:p>
    <w:p w14:paraId="666BFE85" w14:textId="54A23788" w:rsidR="007D3871" w:rsidRPr="002F7439" w:rsidRDefault="007D3871" w:rsidP="001E6C1C">
      <w:pPr>
        <w:spacing w:after="120"/>
      </w:pPr>
      <w:r w:rsidRPr="002F7439">
        <w:rPr>
          <w:sz w:val="22"/>
          <w:szCs w:val="22"/>
        </w:rPr>
        <w:t>The LCL Cases and Interventions committee performs two related functions: it is a resource to LCL staff, the Board and the LCL community to assist concerned persons in planning, coordinating</w:t>
      </w:r>
      <w:r w:rsidR="009B6307">
        <w:rPr>
          <w:sz w:val="22"/>
          <w:szCs w:val="22"/>
        </w:rPr>
        <w:t>,</w:t>
      </w:r>
      <w:r w:rsidRPr="002F7439">
        <w:rPr>
          <w:sz w:val="22"/>
          <w:szCs w:val="22"/>
        </w:rPr>
        <w:t xml:space="preserve"> and implementing </w:t>
      </w:r>
      <w:r w:rsidR="0028598A">
        <w:rPr>
          <w:sz w:val="22"/>
          <w:szCs w:val="22"/>
        </w:rPr>
        <w:t xml:space="preserve">substance use and compulsive behavior </w:t>
      </w:r>
      <w:r w:rsidRPr="002F7439">
        <w:rPr>
          <w:sz w:val="22"/>
          <w:szCs w:val="22"/>
        </w:rPr>
        <w:t xml:space="preserve">interventions and other outreach, and it oversees the organization and training of LCL volunteers in these activities.  As with all other aspects of LCL’s work, the Committee maintains the highest standards of confidentiality in its activities. </w:t>
      </w:r>
      <w:r w:rsidR="00173670" w:rsidRPr="00857EAB">
        <w:rPr>
          <w:b/>
          <w:bCs/>
          <w:sz w:val="22"/>
          <w:szCs w:val="22"/>
        </w:rPr>
        <w:t>Members should identify as persons in recovery</w:t>
      </w:r>
      <w:r w:rsidR="00173670">
        <w:rPr>
          <w:sz w:val="22"/>
          <w:szCs w:val="22"/>
        </w:rPr>
        <w:t xml:space="preserve">. </w:t>
      </w:r>
    </w:p>
    <w:p w14:paraId="354F84A8" w14:textId="77777777" w:rsidR="001E6C1C" w:rsidRDefault="001E6C1C" w:rsidP="001E6C1C">
      <w:pPr>
        <w:spacing w:after="120"/>
        <w:rPr>
          <w:b/>
          <w:iCs/>
          <w:sz w:val="22"/>
          <w:szCs w:val="22"/>
        </w:rPr>
      </w:pPr>
    </w:p>
    <w:p w14:paraId="7DB666C6" w14:textId="7C6102D7" w:rsidR="00583BA8" w:rsidRDefault="00EC44CE" w:rsidP="001E6C1C">
      <w:pPr>
        <w:spacing w:after="120"/>
        <w:rPr>
          <w:b/>
          <w:iCs/>
          <w:sz w:val="22"/>
          <w:szCs w:val="22"/>
        </w:rPr>
      </w:pPr>
      <w:r w:rsidRPr="00EC44CE">
        <w:rPr>
          <w:b/>
          <w:iCs/>
          <w:sz w:val="22"/>
          <w:szCs w:val="22"/>
        </w:rPr>
        <w:t xml:space="preserve">FINANCE </w:t>
      </w:r>
      <w:r w:rsidR="00AA49F8" w:rsidRPr="00EC44CE">
        <w:rPr>
          <w:b/>
          <w:iCs/>
          <w:sz w:val="22"/>
          <w:szCs w:val="22"/>
        </w:rPr>
        <w:t xml:space="preserve">COMMITTEE </w:t>
      </w:r>
    </w:p>
    <w:p w14:paraId="2316B252" w14:textId="0AA7B82E" w:rsidR="00857EAB" w:rsidRDefault="007D3871" w:rsidP="00857EAB">
      <w:pPr>
        <w:spacing w:after="120"/>
        <w:rPr>
          <w:sz w:val="22"/>
          <w:szCs w:val="22"/>
        </w:rPr>
      </w:pPr>
      <w:r w:rsidRPr="002F7439">
        <w:rPr>
          <w:sz w:val="22"/>
          <w:szCs w:val="22"/>
        </w:rPr>
        <w:t xml:space="preserve">The Finance </w:t>
      </w:r>
      <w:r w:rsidR="00621901" w:rsidRPr="002F7439">
        <w:rPr>
          <w:sz w:val="22"/>
          <w:szCs w:val="22"/>
        </w:rPr>
        <w:t>committee</w:t>
      </w:r>
      <w:r w:rsidR="00AA49F8">
        <w:rPr>
          <w:sz w:val="22"/>
          <w:szCs w:val="22"/>
        </w:rPr>
        <w:t xml:space="preserve"> </w:t>
      </w:r>
      <w:r w:rsidR="00621901">
        <w:rPr>
          <w:sz w:val="22"/>
          <w:szCs w:val="22"/>
        </w:rPr>
        <w:t>oversees</w:t>
      </w:r>
      <w:r w:rsidR="00AA49F8" w:rsidRPr="002F7439">
        <w:rPr>
          <w:sz w:val="22"/>
          <w:szCs w:val="22"/>
        </w:rPr>
        <w:t xml:space="preserve"> audits, </w:t>
      </w:r>
      <w:r w:rsidR="00857EAB">
        <w:rPr>
          <w:sz w:val="22"/>
          <w:szCs w:val="22"/>
        </w:rPr>
        <w:t xml:space="preserve">budgeting, </w:t>
      </w:r>
      <w:r w:rsidR="00AA49F8" w:rsidRPr="002F7439">
        <w:rPr>
          <w:sz w:val="22"/>
          <w:szCs w:val="22"/>
        </w:rPr>
        <w:t>and accounting</w:t>
      </w:r>
      <w:r w:rsidR="00D16B34">
        <w:rPr>
          <w:sz w:val="22"/>
          <w:szCs w:val="22"/>
        </w:rPr>
        <w:t xml:space="preserve">. </w:t>
      </w:r>
      <w:r w:rsidR="00414447">
        <w:rPr>
          <w:sz w:val="22"/>
          <w:szCs w:val="22"/>
        </w:rPr>
        <w:t>The Executive Committee serves as the Finance Committee.</w:t>
      </w:r>
    </w:p>
    <w:p w14:paraId="33B6E056" w14:textId="77777777" w:rsidR="00621901" w:rsidRDefault="00621901" w:rsidP="00857EAB">
      <w:pPr>
        <w:spacing w:after="120"/>
        <w:rPr>
          <w:sz w:val="22"/>
          <w:szCs w:val="22"/>
        </w:rPr>
      </w:pPr>
    </w:p>
    <w:p w14:paraId="27FC3E6E" w14:textId="2D54127D" w:rsidR="0028598A" w:rsidRDefault="0028598A" w:rsidP="00857EAB">
      <w:pPr>
        <w:spacing w:after="120"/>
        <w:rPr>
          <w:b/>
          <w:iCs/>
          <w:sz w:val="22"/>
          <w:szCs w:val="22"/>
        </w:rPr>
      </w:pPr>
      <w:r>
        <w:rPr>
          <w:b/>
          <w:iCs/>
          <w:sz w:val="22"/>
          <w:szCs w:val="22"/>
        </w:rPr>
        <w:t>EVE</w:t>
      </w:r>
      <w:r w:rsidR="00621901">
        <w:rPr>
          <w:b/>
          <w:iCs/>
          <w:sz w:val="22"/>
          <w:szCs w:val="22"/>
        </w:rPr>
        <w:t>NT</w:t>
      </w:r>
      <w:r>
        <w:rPr>
          <w:b/>
          <w:iCs/>
          <w:sz w:val="22"/>
          <w:szCs w:val="22"/>
        </w:rPr>
        <w:t>S AND FUNDRAISING COMMITTEE</w:t>
      </w:r>
    </w:p>
    <w:p w14:paraId="5ECE6405" w14:textId="09C90EC6" w:rsidR="00C55E8F" w:rsidRDefault="00621901" w:rsidP="001E6C1C">
      <w:pPr>
        <w:spacing w:after="120"/>
        <w:rPr>
          <w:sz w:val="22"/>
          <w:szCs w:val="22"/>
        </w:rPr>
      </w:pPr>
      <w:r w:rsidRPr="00621901">
        <w:rPr>
          <w:sz w:val="22"/>
          <w:szCs w:val="22"/>
        </w:rPr>
        <w:t xml:space="preserve">The </w:t>
      </w:r>
      <w:r>
        <w:rPr>
          <w:sz w:val="22"/>
          <w:szCs w:val="22"/>
        </w:rPr>
        <w:t xml:space="preserve">Events Committee </w:t>
      </w:r>
      <w:r w:rsidRPr="00621901">
        <w:rPr>
          <w:sz w:val="22"/>
          <w:szCs w:val="22"/>
        </w:rPr>
        <w:t>is involved in planning and executing annual events such as the LCL breakfast</w:t>
      </w:r>
      <w:r>
        <w:rPr>
          <w:sz w:val="22"/>
          <w:szCs w:val="22"/>
        </w:rPr>
        <w:t xml:space="preserve"> and oversees other strategic fundraising initiatives. The Committee</w:t>
      </w:r>
      <w:r w:rsidRPr="00621901">
        <w:rPr>
          <w:sz w:val="22"/>
          <w:szCs w:val="22"/>
        </w:rPr>
        <w:t xml:space="preserve"> adheres to a clear and consistent statement of LCL’s mission and goals to educate potential donors about the importance of their support. The impact increased donations have on the quality of LCL programs and services and the consequent impact on client quality of life, is consistently relayed to our financial stakeholders. Judges may participate in an advisory capacity only. </w:t>
      </w:r>
    </w:p>
    <w:p w14:paraId="463B22E1" w14:textId="77777777" w:rsidR="001E6C1C" w:rsidRDefault="001E6C1C" w:rsidP="001E6C1C">
      <w:pPr>
        <w:spacing w:after="120"/>
        <w:rPr>
          <w:b/>
          <w:iCs/>
          <w:sz w:val="22"/>
          <w:szCs w:val="22"/>
        </w:rPr>
      </w:pPr>
    </w:p>
    <w:p w14:paraId="31211DF4" w14:textId="77777777" w:rsidR="00857EAB" w:rsidRDefault="00857EAB">
      <w:pPr>
        <w:spacing w:after="120"/>
        <w:rPr>
          <w:sz w:val="22"/>
          <w:szCs w:val="22"/>
        </w:rPr>
      </w:pPr>
    </w:p>
    <w:sectPr w:rsidR="00857EAB" w:rsidSect="00285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2587"/>
    <w:multiLevelType w:val="hybridMultilevel"/>
    <w:tmpl w:val="B94E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75773"/>
    <w:multiLevelType w:val="hybridMultilevel"/>
    <w:tmpl w:val="90C6A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759BF"/>
    <w:multiLevelType w:val="hybridMultilevel"/>
    <w:tmpl w:val="0AA6EBE6"/>
    <w:lvl w:ilvl="0" w:tplc="E6BE9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3094A"/>
    <w:multiLevelType w:val="hybridMultilevel"/>
    <w:tmpl w:val="BA82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103D5"/>
    <w:multiLevelType w:val="hybridMultilevel"/>
    <w:tmpl w:val="C1E2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154D0"/>
    <w:multiLevelType w:val="hybridMultilevel"/>
    <w:tmpl w:val="C1E2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70F45"/>
    <w:multiLevelType w:val="hybridMultilevel"/>
    <w:tmpl w:val="C1E2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A5773"/>
    <w:multiLevelType w:val="hybridMultilevel"/>
    <w:tmpl w:val="3CF27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C63AB"/>
    <w:multiLevelType w:val="hybridMultilevel"/>
    <w:tmpl w:val="C6C64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E06FA"/>
    <w:multiLevelType w:val="hybridMultilevel"/>
    <w:tmpl w:val="0F48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D7616"/>
    <w:multiLevelType w:val="hybridMultilevel"/>
    <w:tmpl w:val="BA82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300E2A"/>
    <w:multiLevelType w:val="hybridMultilevel"/>
    <w:tmpl w:val="BA82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255708">
    <w:abstractNumId w:val="2"/>
  </w:num>
  <w:num w:numId="2" w16cid:durableId="1342120818">
    <w:abstractNumId w:val="8"/>
  </w:num>
  <w:num w:numId="3" w16cid:durableId="213930367">
    <w:abstractNumId w:val="0"/>
  </w:num>
  <w:num w:numId="4" w16cid:durableId="799955210">
    <w:abstractNumId w:val="1"/>
  </w:num>
  <w:num w:numId="5" w16cid:durableId="1230963346">
    <w:abstractNumId w:val="6"/>
  </w:num>
  <w:num w:numId="6" w16cid:durableId="1394697242">
    <w:abstractNumId w:val="9"/>
  </w:num>
  <w:num w:numId="7" w16cid:durableId="637414922">
    <w:abstractNumId w:val="5"/>
  </w:num>
  <w:num w:numId="8" w16cid:durableId="933517878">
    <w:abstractNumId w:val="10"/>
  </w:num>
  <w:num w:numId="9" w16cid:durableId="618684931">
    <w:abstractNumId w:val="4"/>
  </w:num>
  <w:num w:numId="10" w16cid:durableId="1462193364">
    <w:abstractNumId w:val="7"/>
  </w:num>
  <w:num w:numId="11" w16cid:durableId="998070249">
    <w:abstractNumId w:val="11"/>
  </w:num>
  <w:num w:numId="12" w16cid:durableId="1396274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yNjE1NzUxNzM1sTBW0lEKTi0uzszPAykwrAUA16aGhywAAAA="/>
  </w:docVars>
  <w:rsids>
    <w:rsidRoot w:val="006723AA"/>
    <w:rsid w:val="000406DA"/>
    <w:rsid w:val="00042ABB"/>
    <w:rsid w:val="000805AC"/>
    <w:rsid w:val="000F5BC7"/>
    <w:rsid w:val="00154CFB"/>
    <w:rsid w:val="00173670"/>
    <w:rsid w:val="001B4BB5"/>
    <w:rsid w:val="001E6C1C"/>
    <w:rsid w:val="00213E79"/>
    <w:rsid w:val="0028598A"/>
    <w:rsid w:val="002F7439"/>
    <w:rsid w:val="00327326"/>
    <w:rsid w:val="0032753F"/>
    <w:rsid w:val="00375C08"/>
    <w:rsid w:val="003B08FB"/>
    <w:rsid w:val="00414447"/>
    <w:rsid w:val="00493163"/>
    <w:rsid w:val="004F4796"/>
    <w:rsid w:val="00583BA8"/>
    <w:rsid w:val="005B4EB8"/>
    <w:rsid w:val="005D3C0C"/>
    <w:rsid w:val="00621901"/>
    <w:rsid w:val="006723AA"/>
    <w:rsid w:val="00707511"/>
    <w:rsid w:val="007C16CD"/>
    <w:rsid w:val="007D3871"/>
    <w:rsid w:val="00842EA2"/>
    <w:rsid w:val="00857EAB"/>
    <w:rsid w:val="008C5B36"/>
    <w:rsid w:val="008E0392"/>
    <w:rsid w:val="008E536B"/>
    <w:rsid w:val="009063DC"/>
    <w:rsid w:val="0090670B"/>
    <w:rsid w:val="00917745"/>
    <w:rsid w:val="00992E0B"/>
    <w:rsid w:val="009B6307"/>
    <w:rsid w:val="009E25DD"/>
    <w:rsid w:val="00A659FC"/>
    <w:rsid w:val="00AA49F8"/>
    <w:rsid w:val="00AC0B11"/>
    <w:rsid w:val="00AF5392"/>
    <w:rsid w:val="00B1166E"/>
    <w:rsid w:val="00B41BF3"/>
    <w:rsid w:val="00BA2A2A"/>
    <w:rsid w:val="00C056F6"/>
    <w:rsid w:val="00C55E8F"/>
    <w:rsid w:val="00C6080D"/>
    <w:rsid w:val="00CF5D96"/>
    <w:rsid w:val="00D16B34"/>
    <w:rsid w:val="00D70760"/>
    <w:rsid w:val="00DD30B0"/>
    <w:rsid w:val="00DF34D4"/>
    <w:rsid w:val="00EA6DFC"/>
    <w:rsid w:val="00EC44CE"/>
    <w:rsid w:val="00F35E27"/>
    <w:rsid w:val="00F7774A"/>
    <w:rsid w:val="00F9440D"/>
    <w:rsid w:val="00FD79EC"/>
    <w:rsid w:val="00FE2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B8C74"/>
  <w15:docId w15:val="{8C7C15CC-A151-4857-BF26-3EC28309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3BA8"/>
    <w:rPr>
      <w:strike w:val="0"/>
      <w:dstrike w:val="0"/>
      <w:color w:val="00008B"/>
      <w:u w:val="none"/>
      <w:effect w:val="none"/>
    </w:rPr>
  </w:style>
  <w:style w:type="character" w:customStyle="1" w:styleId="object2">
    <w:name w:val="object2"/>
    <w:rsid w:val="00583BA8"/>
    <w:rPr>
      <w:strike w:val="0"/>
      <w:dstrike w:val="0"/>
      <w:color w:val="00008B"/>
      <w:u w:val="none"/>
      <w:effect w:val="none"/>
    </w:rPr>
  </w:style>
  <w:style w:type="character" w:styleId="LineNumber">
    <w:name w:val="line number"/>
    <w:rsid w:val="007D3871"/>
  </w:style>
  <w:style w:type="paragraph" w:styleId="BalloonText">
    <w:name w:val="Balloon Text"/>
    <w:basedOn w:val="Normal"/>
    <w:link w:val="BalloonTextChar"/>
    <w:rsid w:val="000805AC"/>
    <w:rPr>
      <w:rFonts w:ascii="Tahoma" w:hAnsi="Tahoma" w:cs="Tahoma"/>
      <w:sz w:val="16"/>
      <w:szCs w:val="16"/>
    </w:rPr>
  </w:style>
  <w:style w:type="character" w:customStyle="1" w:styleId="BalloonTextChar">
    <w:name w:val="Balloon Text Char"/>
    <w:link w:val="BalloonText"/>
    <w:rsid w:val="00080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582947">
      <w:bodyDiv w:val="1"/>
      <w:marLeft w:val="0"/>
      <w:marRight w:val="0"/>
      <w:marTop w:val="0"/>
      <w:marBottom w:val="0"/>
      <w:divBdr>
        <w:top w:val="none" w:sz="0" w:space="0" w:color="auto"/>
        <w:left w:val="none" w:sz="0" w:space="0" w:color="auto"/>
        <w:bottom w:val="none" w:sz="0" w:space="0" w:color="auto"/>
        <w:right w:val="none" w:sz="0" w:space="0" w:color="auto"/>
      </w:divBdr>
      <w:divsChild>
        <w:div w:id="1966886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7C8D7-7006-4CDA-9B6A-2E138D56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Jon Tynjala</cp:lastModifiedBy>
  <cp:revision>3</cp:revision>
  <cp:lastPrinted>2023-06-26T13:28:00Z</cp:lastPrinted>
  <dcterms:created xsi:type="dcterms:W3CDTF">2025-07-02T21:41:00Z</dcterms:created>
  <dcterms:modified xsi:type="dcterms:W3CDTF">2025-07-02T21:41:00Z</dcterms:modified>
</cp:coreProperties>
</file>